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Skinnskatteberg kommunfullmäktige</w:t>
      </w:r>
    </w:p>
    <w:p>
      <w:pPr>
        <w:pStyle w:val="Heading1"/>
      </w:pPr>
      <w:r>
        <w:t xml:space="preserve">Förebyggande arbete mot otrygghet bland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Skinnskatteberg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ökning av anmälningar om skadegörelse och ordningsstörningar bland 13–17-åringar. Fritidsgården har begränsade öppettider och få aktiviteter.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Skinnskatteberg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fritidsverksamheten utökas med minst två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fältassistenter anställs på deltid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trygghetsplan tas fram tillsammans med ungdomsrådet.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i trygghetsrapporten årligen.</w:t>
      </w:r>
    </w:p>
    <w:p>
      <w:pPr>
        <w:spacing w:before="360"/>
      </w:pPr>
    </w:p>
    <w:p>
      <w:r>
        <w:t xml:space="preserve">Skinnskatteberg,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Skinnskatteberg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2026-07-14T01:16:08.666Z</dcterms:created>
  <dcterms:modified xsi:type="dcterms:W3CDTF">2026-07-14T01:16:08.666Z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